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71241857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105947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3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="00866105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約用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31C37180" w:rsidR="00C84CA6" w:rsidRPr="009C4C18" w:rsidRDefault="00CE630A" w:rsidP="00311A6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311A69" w:rsidRPr="00311A69">
        <w:rPr>
          <w:rFonts w:ascii="標楷體" w:eastAsia="標楷體" w:hAnsi="標楷體" w:hint="eastAsia"/>
          <w:sz w:val="32"/>
          <w:szCs w:val="32"/>
        </w:rPr>
        <w:t>行政院及所屬各機關學校約用人員進用及運用要點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5B63053E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045479">
        <w:rPr>
          <w:rFonts w:ascii="標楷體" w:eastAsia="標楷體" w:hAnsi="標楷體" w:hint="eastAsia"/>
          <w:sz w:val="32"/>
          <w:szCs w:val="32"/>
        </w:rPr>
        <w:t>8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530495E9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045479">
        <w:rPr>
          <w:rFonts w:ascii="標楷體" w:eastAsia="標楷體" w:hAnsi="標楷體" w:hint="eastAsia"/>
          <w:sz w:val="32"/>
          <w:szCs w:val="32"/>
        </w:rPr>
        <w:t>8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DB26E8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04B47054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3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480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105947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105947">
        <w:rPr>
          <w:rFonts w:ascii="標楷體" w:eastAsia="標楷體" w:hAnsi="標楷體"/>
          <w:sz w:val="32"/>
          <w:szCs w:val="32"/>
        </w:rPr>
        <w:t>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105947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105947">
        <w:rPr>
          <w:rFonts w:ascii="標楷體" w:eastAsia="標楷體" w:hAnsi="標楷體" w:hint="eastAsia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9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960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Pr="00105947">
        <w:rPr>
          <w:rFonts w:ascii="標楷體" w:eastAsia="標楷體" w:hAnsi="標楷體"/>
          <w:sz w:val="32"/>
          <w:szCs w:val="32"/>
        </w:rPr>
        <w:t>提撥</w:t>
      </w:r>
      <w:proofErr w:type="gramEnd"/>
      <w:r w:rsidRPr="00105947">
        <w:rPr>
          <w:rFonts w:ascii="標楷體" w:eastAsia="標楷體" w:hAnsi="標楷體"/>
          <w:sz w:val="32"/>
          <w:szCs w:val="32"/>
        </w:rPr>
        <w:t>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105947">
        <w:rPr>
          <w:rFonts w:ascii="標楷體" w:eastAsia="標楷體" w:hAnsi="標楷體" w:hint="eastAsia"/>
          <w:sz w:val="32"/>
          <w:szCs w:val="32"/>
        </w:rPr>
        <w:t>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6BC9DBFE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105947">
        <w:rPr>
          <w:rFonts w:ascii="標楷體" w:eastAsia="標楷體" w:hAnsi="標楷體" w:hint="eastAsia"/>
          <w:sz w:val="32"/>
          <w:szCs w:val="32"/>
        </w:rPr>
        <w:t>3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F45E97">
        <w:rPr>
          <w:rFonts w:ascii="標楷體" w:eastAsia="標楷體" w:hAnsi="標楷體" w:hint="eastAsia"/>
          <w:sz w:val="32"/>
          <w:szCs w:val="32"/>
          <w:shd w:val="pct15" w:color="auto" w:fill="FFFFFF"/>
        </w:rPr>
        <w:t>06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F45E97">
        <w:rPr>
          <w:rFonts w:ascii="標楷體" w:eastAsia="標楷體" w:hAnsi="標楷體" w:hint="eastAsia"/>
          <w:sz w:val="32"/>
          <w:szCs w:val="32"/>
          <w:shd w:val="pct15" w:color="auto" w:fill="FFFFFF"/>
        </w:rPr>
        <w:t>28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866105">
        <w:rPr>
          <w:rFonts w:ascii="標楷體" w:eastAsia="標楷體" w:hAnsi="標楷體" w:hint="eastAsia"/>
          <w:sz w:val="32"/>
          <w:szCs w:val="32"/>
          <w:shd w:val="pct15" w:color="auto" w:fill="FFFFFF"/>
        </w:rPr>
        <w:t>五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午休時間12:00-13:30、國定假日、例假日除外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2A23E571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45E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06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F45E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28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86610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</w:t>
      </w:r>
      <w:proofErr w:type="gramStart"/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proofErr w:type="gramEnd"/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</w:t>
      </w:r>
      <w:proofErr w:type="gramEnd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45479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529A5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A69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82067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66105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4214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5E97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276</Words>
  <Characters>1578</Characters>
  <Application>Microsoft Office Word</Application>
  <DocSecurity>0</DocSecurity>
  <Lines>13</Lines>
  <Paragraphs>3</Paragraphs>
  <ScaleCrop>false</ScaleCrop>
  <Company>C.M.T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18</cp:revision>
  <cp:lastPrinted>2024-05-23T05:55:00Z</cp:lastPrinted>
  <dcterms:created xsi:type="dcterms:W3CDTF">2023-07-04T09:26:00Z</dcterms:created>
  <dcterms:modified xsi:type="dcterms:W3CDTF">2024-06-03T02:05:00Z</dcterms:modified>
</cp:coreProperties>
</file>